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26" w:rsidRPr="00B32126" w:rsidRDefault="00B32126" w:rsidP="002B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26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B140D6" w:rsidRDefault="00EF2EC5" w:rsidP="002B3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B3">
        <w:rPr>
          <w:rFonts w:ascii="Times New Roman" w:hAnsi="Times New Roman" w:cs="Times New Roman"/>
          <w:sz w:val="24"/>
          <w:szCs w:val="24"/>
        </w:rPr>
        <w:t>Анализ рисковых профилей школ-участниц проекта</w:t>
      </w:r>
    </w:p>
    <w:p w:rsidR="005302BD" w:rsidRDefault="005302BD" w:rsidP="002B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76A" w:rsidRDefault="00EF2EC5" w:rsidP="002B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B3">
        <w:rPr>
          <w:rFonts w:ascii="Times New Roman" w:hAnsi="Times New Roman" w:cs="Times New Roman"/>
          <w:sz w:val="24"/>
          <w:szCs w:val="24"/>
        </w:rPr>
        <w:t xml:space="preserve">В 2022 году в проекте Адресной методической помощи 500+ принимают участие 19 школ из 4 муниципальных образований Камчатского края. </w:t>
      </w:r>
    </w:p>
    <w:p w:rsidR="00EF2EC5" w:rsidRPr="00CC176A" w:rsidRDefault="00EF2EC5" w:rsidP="00CC1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2B38B3">
        <w:rPr>
          <w:rFonts w:ascii="Times New Roman" w:hAnsi="Times New Roman" w:cs="Times New Roman"/>
          <w:sz w:val="24"/>
          <w:szCs w:val="24"/>
        </w:rPr>
        <w:t>Образовательны</w:t>
      </w:r>
      <w:r w:rsidR="00CC176A">
        <w:rPr>
          <w:rFonts w:ascii="Times New Roman" w:hAnsi="Times New Roman" w:cs="Times New Roman"/>
          <w:sz w:val="24"/>
          <w:szCs w:val="24"/>
        </w:rPr>
        <w:t>ми</w:t>
      </w:r>
      <w:r w:rsidRPr="002B38B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C176A">
        <w:rPr>
          <w:rFonts w:ascii="Times New Roman" w:hAnsi="Times New Roman" w:cs="Times New Roman"/>
          <w:sz w:val="24"/>
          <w:szCs w:val="24"/>
        </w:rPr>
        <w:t>ями</w:t>
      </w:r>
      <w:r w:rsidRPr="002B38B3">
        <w:rPr>
          <w:rFonts w:ascii="Times New Roman" w:hAnsi="Times New Roman" w:cs="Times New Roman"/>
          <w:sz w:val="24"/>
          <w:szCs w:val="24"/>
        </w:rPr>
        <w:t xml:space="preserve"> </w:t>
      </w:r>
      <w:r w:rsidR="00CC176A">
        <w:rPr>
          <w:rFonts w:ascii="Times New Roman" w:hAnsi="Times New Roman" w:cs="Times New Roman"/>
          <w:sz w:val="24"/>
          <w:szCs w:val="24"/>
        </w:rPr>
        <w:t>было пройдено анкетирование</w:t>
      </w:r>
      <w:r w:rsidRPr="002B38B3">
        <w:rPr>
          <w:rFonts w:ascii="Times New Roman" w:hAnsi="Times New Roman" w:cs="Times New Roman"/>
          <w:sz w:val="24"/>
          <w:szCs w:val="24"/>
        </w:rPr>
        <w:t>, в котором прин</w:t>
      </w:r>
      <w:r w:rsidR="00CC176A">
        <w:rPr>
          <w:rFonts w:ascii="Times New Roman" w:hAnsi="Times New Roman" w:cs="Times New Roman"/>
          <w:sz w:val="24"/>
          <w:szCs w:val="24"/>
        </w:rPr>
        <w:t xml:space="preserve">имали </w:t>
      </w:r>
      <w:r w:rsidRPr="002B38B3">
        <w:rPr>
          <w:rFonts w:ascii="Times New Roman" w:hAnsi="Times New Roman" w:cs="Times New Roman"/>
          <w:sz w:val="24"/>
          <w:szCs w:val="24"/>
        </w:rPr>
        <w:t xml:space="preserve">участие все </w:t>
      </w:r>
      <w:r w:rsidRPr="002B38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участники образовательных отношений: руководители образовательных организаций, учителя, ученики и их родители.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</w:t>
      </w:r>
      <w:r w:rsidRPr="002B38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Данные, собранные в ходе анкетирования, позволили сформировать и описать рисковый профиль для каждой школы.</w:t>
      </w:r>
    </w:p>
    <w:p w:rsidR="00CC176A" w:rsidRDefault="00EF2EC5" w:rsidP="00CC1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2B38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В 2022 году рисковый профиль школ был доработан. Основная цель доработки — повышение удобства его использования непосредственно в школьной управленческой деятельности; повышение внимания к параметрам оценки риска, входящим в каждую рисковую группу. Для этого параметры риска были перегруппированы таким образом, чтобы нагляднее представлять сущность вызова, стоящего перед школой.</w:t>
      </w:r>
    </w:p>
    <w:p w:rsidR="00B105B3" w:rsidRDefault="00B105B3" w:rsidP="00CC1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Основные </w:t>
      </w:r>
      <w:r w:rsidR="009A56D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факторы риска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, 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выделенные 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в 2022 году:</w:t>
      </w:r>
    </w:p>
    <w:p w:rsidR="00B105B3" w:rsidRP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Низкий уровень оснащения школы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P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Дефицит педагогических кадров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Риски низкой адаптивности учебного процесса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proofErr w:type="spellStart"/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Несформированность</w:t>
      </w:r>
      <w:proofErr w:type="spellEnd"/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</w:t>
      </w:r>
      <w:proofErr w:type="spellStart"/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внутришкольной</w:t>
      </w:r>
      <w:proofErr w:type="spellEnd"/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системы повышения квалификации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Высокая доля обучающихся с рисками учебной </w:t>
      </w:r>
      <w:proofErr w:type="spellStart"/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неуспешности</w:t>
      </w:r>
      <w:proofErr w:type="spellEnd"/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Высокая доля обучающихся с ОВЗ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Низкое качество преодоления языковых и культурных барьеров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Пониженный уровень качества школьной образовательной и воспитательной среды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;</w:t>
      </w:r>
    </w:p>
    <w:p w:rsidR="00B105B3" w:rsidRDefault="00B105B3" w:rsidP="00CC1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B105B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Низкий уровень вовлеченности родителей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.</w:t>
      </w:r>
    </w:p>
    <w:p w:rsidR="00B32126" w:rsidRDefault="00B32126" w:rsidP="00B32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Распределение рисковых профилей на территории Камчатского края представлено на рисунке 1.</w:t>
      </w:r>
    </w:p>
    <w:p w:rsidR="00B32126" w:rsidRPr="00B32126" w:rsidRDefault="00B32126" w:rsidP="00B32126">
      <w:p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</w:p>
    <w:p w:rsidR="009A56DE" w:rsidRDefault="003F4D78" w:rsidP="009A56DE">
      <w:pPr>
        <w:ind w:left="-993" w:right="-710"/>
        <w:jc w:val="center"/>
        <w:rPr>
          <w:rFonts w:ascii="Verdana" w:hAnsi="Verdana"/>
          <w:color w:val="0B1F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FB6EA54" wp14:editId="6550E6D2">
            <wp:extent cx="6838950" cy="3638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2126" w:rsidRDefault="00B32126" w:rsidP="00245E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Рисунок 1. Распределение рисков по школам Камчатского края</w:t>
      </w:r>
    </w:p>
    <w:p w:rsidR="00245E9E" w:rsidRPr="00245E9E" w:rsidRDefault="00245E9E" w:rsidP="00B32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lastRenderedPageBreak/>
        <w:t>Риски н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едостаточн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ой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предметн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ой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и методическ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ой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компетентност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и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педагогических работников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, а также 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пониженн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ого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ня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качества школьной образовательной и воспитательной среды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являются наиболее выраженными на территории Камчатского края и встречаются у более чем половины образовательных организаций.</w:t>
      </w:r>
    </w:p>
    <w:p w:rsidR="004C73DA" w:rsidRPr="00245E9E" w:rsidRDefault="004C73DA" w:rsidP="00B32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Риск образовательной среды низкого качества вобрал в себя ряд важнейших параметров, характеризующих качество образовательной и воспитательной среды в школе. В этой группе фиксируются: </w:t>
      </w:r>
      <w:proofErr w:type="spellStart"/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буллинг</w:t>
      </w:r>
      <w:proofErr w:type="spellEnd"/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(травля), деструктивные педагогические практики, </w:t>
      </w:r>
      <w:proofErr w:type="spellStart"/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профориентационная</w:t>
      </w:r>
      <w:proofErr w:type="spellEnd"/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работа, уровень мотивации обучающихся, отношения в педагогическом коллективе и др.</w:t>
      </w:r>
    </w:p>
    <w:p w:rsidR="004C73DA" w:rsidRPr="00245E9E" w:rsidRDefault="004C73DA" w:rsidP="00B3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К п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араметрам, определяющим 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недостаточн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ую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предметн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ую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и методическ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ую 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компетентност</w:t>
      </w:r>
      <w:r w:rsidR="00CC176A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ь</w:t>
      </w:r>
      <w:r w:rsidRPr="00245E9E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педагогических работников, относятся: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C73DA">
        <w:rPr>
          <w:rFonts w:ascii="Times New Roman" w:hAnsi="Times New Roman" w:cs="Times New Roman"/>
          <w:color w:val="000000"/>
          <w:sz w:val="24"/>
          <w:szCs w:val="24"/>
        </w:rPr>
        <w:t>амооце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>нка учителями своих компетенций, д</w:t>
      </w:r>
      <w:r w:rsidRPr="004C73DA">
        <w:rPr>
          <w:rFonts w:ascii="Times New Roman" w:hAnsi="Times New Roman" w:cs="Times New Roman"/>
          <w:color w:val="000000"/>
          <w:sz w:val="24"/>
          <w:szCs w:val="24"/>
        </w:rPr>
        <w:t>оля родителей, неудовлетворенных качеством обучения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4C73DA">
        <w:rPr>
          <w:rFonts w:ascii="Times New Roman" w:hAnsi="Times New Roman" w:cs="Times New Roman"/>
          <w:color w:val="000000"/>
          <w:sz w:val="24"/>
          <w:szCs w:val="24"/>
        </w:rPr>
        <w:t>ценка обучающимися качества преподавания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4C73DA">
        <w:rPr>
          <w:rFonts w:ascii="Times New Roman" w:hAnsi="Times New Roman" w:cs="Times New Roman"/>
          <w:color w:val="000000"/>
          <w:sz w:val="24"/>
          <w:szCs w:val="24"/>
        </w:rPr>
        <w:t>ровень дисциплины в школе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4C73DA">
        <w:rPr>
          <w:rFonts w:ascii="Times New Roman" w:hAnsi="Times New Roman" w:cs="Times New Roman"/>
          <w:color w:val="000000"/>
          <w:sz w:val="24"/>
          <w:szCs w:val="24"/>
        </w:rPr>
        <w:t>ровень использования цифровых образовательных ресурсов учителями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747" w:rsidRPr="00245E9E" w:rsidRDefault="00950747" w:rsidP="00530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У 26% образовательных организаций выявлена </w:t>
      </w:r>
      <w:proofErr w:type="spellStart"/>
      <w:r w:rsidRPr="00245E9E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5E9E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повышения квалификации. Риск включает в себя организацию системы наставничества, к</w:t>
      </w:r>
      <w:r w:rsidRPr="00950747">
        <w:rPr>
          <w:rFonts w:ascii="Times New Roman" w:hAnsi="Times New Roman" w:cs="Times New Roman"/>
          <w:color w:val="000000"/>
          <w:sz w:val="24"/>
          <w:szCs w:val="24"/>
        </w:rPr>
        <w:t>ачество профессионального взаимодействия между учителями школы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, процесс </w:t>
      </w:r>
      <w:r w:rsidRPr="00950747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сопровождения после прохождения курсов повышения квалификации</w:t>
      </w:r>
      <w:r w:rsidR="006B7E3A"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950747" w:rsidRPr="00245E9E" w:rsidRDefault="006B7E3A" w:rsidP="00530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анкетирования актуальными остаются </w:t>
      </w:r>
      <w:r w:rsidR="00CC176A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245E9E">
        <w:rPr>
          <w:rFonts w:ascii="Times New Roman" w:hAnsi="Times New Roman" w:cs="Times New Roman"/>
          <w:color w:val="000000"/>
          <w:sz w:val="24"/>
          <w:szCs w:val="24"/>
        </w:rPr>
        <w:t xml:space="preserve"> низкого уровня оснащения школы и дефицита педагогических работников.</w:t>
      </w:r>
    </w:p>
    <w:p w:rsidR="00A24397" w:rsidRPr="00245E9E" w:rsidRDefault="006B7E3A" w:rsidP="005302BD">
      <w:pPr>
        <w:pStyle w:val="Default"/>
        <w:ind w:firstLine="708"/>
        <w:jc w:val="both"/>
      </w:pPr>
      <w:r w:rsidRPr="00245E9E">
        <w:rPr>
          <w:color w:val="0B1F33"/>
          <w:shd w:val="clear" w:color="auto" w:fill="FFFFFF"/>
        </w:rPr>
        <w:t xml:space="preserve">В </w:t>
      </w:r>
      <w:r w:rsidR="00CC176A">
        <w:rPr>
          <w:color w:val="0B1F33"/>
          <w:shd w:val="clear" w:color="auto" w:fill="FFFFFF"/>
        </w:rPr>
        <w:t>двух</w:t>
      </w:r>
      <w:r w:rsidRPr="00245E9E">
        <w:rPr>
          <w:color w:val="0B1F33"/>
          <w:shd w:val="clear" w:color="auto" w:fill="FFFFFF"/>
        </w:rPr>
        <w:t xml:space="preserve"> образовательных организациях актуальными остаются риски, связанные с высокой долей обучающихся с ОВЗ. При анализе учитывалась в том числе</w:t>
      </w:r>
      <w:r w:rsidR="005302BD">
        <w:rPr>
          <w:color w:val="0B1F33"/>
          <w:shd w:val="clear" w:color="auto" w:fill="FFFFFF"/>
        </w:rPr>
        <w:t xml:space="preserve"> и</w:t>
      </w:r>
      <w:r w:rsidRPr="00245E9E">
        <w:rPr>
          <w:color w:val="0B1F33"/>
          <w:shd w:val="clear" w:color="auto" w:fill="FFFFFF"/>
        </w:rPr>
        <w:t xml:space="preserve"> доля</w:t>
      </w:r>
      <w:r w:rsidRPr="00245E9E">
        <w:t xml:space="preserve"> учителей, испытывающих неуверенность при работе с обучающимися с </w:t>
      </w:r>
      <w:r w:rsidR="00A24397" w:rsidRPr="00245E9E">
        <w:t>ограниченными возможностями здоровья.</w:t>
      </w:r>
    </w:p>
    <w:p w:rsidR="00A24397" w:rsidRPr="00245E9E" w:rsidRDefault="00A24397" w:rsidP="005302BD">
      <w:pPr>
        <w:pStyle w:val="Default"/>
        <w:ind w:firstLine="708"/>
        <w:jc w:val="both"/>
      </w:pPr>
      <w:r w:rsidRPr="00245E9E">
        <w:t>Высокая значимость риска, связанного с низким уровнем вовлеченности родителей,</w:t>
      </w:r>
      <w:r w:rsidR="006B7E3A" w:rsidRPr="00245E9E">
        <w:t xml:space="preserve"> </w:t>
      </w:r>
      <w:r w:rsidRPr="00245E9E">
        <w:t xml:space="preserve">выявлена в </w:t>
      </w:r>
      <w:r w:rsidR="00CC176A">
        <w:t>двух</w:t>
      </w:r>
      <w:r w:rsidRPr="00245E9E">
        <w:t xml:space="preserve"> образовательных организаци</w:t>
      </w:r>
      <w:r w:rsidR="002F56FC">
        <w:t>ях</w:t>
      </w:r>
      <w:bookmarkStart w:id="0" w:name="_GoBack"/>
      <w:bookmarkEnd w:id="0"/>
      <w:r w:rsidRPr="00245E9E">
        <w:t xml:space="preserve">. Со средней значимостью риск определен в 63% школах. Это указывает на актуальность проблем, связанных с </w:t>
      </w:r>
      <w:proofErr w:type="spellStart"/>
      <w:r w:rsidRPr="00245E9E">
        <w:t>н</w:t>
      </w:r>
      <w:r w:rsidRPr="00A24397">
        <w:t>евовлеченность</w:t>
      </w:r>
      <w:r w:rsidRPr="00245E9E">
        <w:t>ю</w:t>
      </w:r>
      <w:proofErr w:type="spellEnd"/>
      <w:r w:rsidRPr="00A24397">
        <w:t xml:space="preserve"> родителей в учебный процесс</w:t>
      </w:r>
      <w:r w:rsidRPr="00245E9E">
        <w:t>, поддержкой родителями детей в учебе, регулярность посещения родительских собраний.</w:t>
      </w:r>
    </w:p>
    <w:p w:rsidR="00A24397" w:rsidRPr="00245E9E" w:rsidRDefault="00A24397" w:rsidP="005302BD">
      <w:pPr>
        <w:pStyle w:val="Default"/>
        <w:ind w:firstLine="708"/>
        <w:jc w:val="both"/>
      </w:pPr>
      <w:r w:rsidRPr="00245E9E">
        <w:t xml:space="preserve">Наименее выраженными факторами риска на территории Камчатского края являются </w:t>
      </w:r>
      <w:r w:rsidR="00CC176A" w:rsidRPr="00CC176A">
        <w:rPr>
          <w:bCs/>
        </w:rPr>
        <w:t>в</w:t>
      </w:r>
      <w:r w:rsidRPr="00CC176A">
        <w:rPr>
          <w:bCs/>
        </w:rPr>
        <w:t xml:space="preserve">ысокая доля обучающихся с рисками учебной </w:t>
      </w:r>
      <w:proofErr w:type="spellStart"/>
      <w:r w:rsidRPr="00CC176A">
        <w:rPr>
          <w:bCs/>
        </w:rPr>
        <w:t>неуспешности</w:t>
      </w:r>
      <w:proofErr w:type="spellEnd"/>
      <w:r w:rsidRPr="00CC176A">
        <w:rPr>
          <w:bCs/>
        </w:rPr>
        <w:t xml:space="preserve"> и </w:t>
      </w:r>
      <w:r w:rsidR="00245E9E" w:rsidRPr="00CC176A">
        <w:rPr>
          <w:bCs/>
        </w:rPr>
        <w:t>низкое качество преодоления языковых и культурных барьеров.</w:t>
      </w:r>
      <w:r w:rsidR="00245E9E" w:rsidRPr="00245E9E">
        <w:rPr>
          <w:b/>
          <w:bCs/>
        </w:rPr>
        <w:t xml:space="preserve"> </w:t>
      </w:r>
    </w:p>
    <w:p w:rsidR="00A24397" w:rsidRPr="00245E9E" w:rsidRDefault="00A24397" w:rsidP="00B32126">
      <w:pPr>
        <w:pStyle w:val="Default"/>
        <w:jc w:val="both"/>
      </w:pPr>
    </w:p>
    <w:p w:rsidR="00A24397" w:rsidRPr="00245E9E" w:rsidRDefault="00A24397" w:rsidP="00B32126">
      <w:pPr>
        <w:pStyle w:val="Default"/>
        <w:jc w:val="both"/>
      </w:pPr>
    </w:p>
    <w:p w:rsidR="00A24397" w:rsidRPr="00245E9E" w:rsidRDefault="00A24397" w:rsidP="006B7E3A">
      <w:pPr>
        <w:pStyle w:val="Default"/>
        <w:jc w:val="both"/>
      </w:pPr>
    </w:p>
    <w:p w:rsidR="006B7E3A" w:rsidRPr="00245E9E" w:rsidRDefault="006B7E3A" w:rsidP="006B7E3A">
      <w:pPr>
        <w:pStyle w:val="Default"/>
        <w:jc w:val="both"/>
      </w:pPr>
    </w:p>
    <w:p w:rsidR="004C73DA" w:rsidRPr="00245E9E" w:rsidRDefault="004C73DA" w:rsidP="009A56DE">
      <w:p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</w:p>
    <w:p w:rsidR="006B7E3A" w:rsidRPr="00245E9E" w:rsidRDefault="006B7E3A" w:rsidP="009A56DE">
      <w:p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</w:p>
    <w:p w:rsidR="004C73DA" w:rsidRDefault="004C73DA" w:rsidP="009A56DE">
      <w:pPr>
        <w:spacing w:after="0" w:line="240" w:lineRule="auto"/>
        <w:jc w:val="both"/>
        <w:rPr>
          <w:rFonts w:ascii="Verdana" w:hAnsi="Verdana"/>
          <w:color w:val="0B1F33"/>
          <w:shd w:val="clear" w:color="auto" w:fill="FFFFFF"/>
        </w:rPr>
      </w:pPr>
    </w:p>
    <w:p w:rsidR="004C73DA" w:rsidRDefault="004C73DA" w:rsidP="009A56DE">
      <w:p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</w:p>
    <w:p w:rsidR="009A56DE" w:rsidRPr="009A56DE" w:rsidRDefault="009A56DE" w:rsidP="009A56DE">
      <w:pPr>
        <w:spacing w:after="0" w:line="240" w:lineRule="auto"/>
        <w:jc w:val="both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</w:p>
    <w:p w:rsidR="00D96502" w:rsidRDefault="00D96502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Default="005302BD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Default="005302BD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Default="005302BD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Default="005302BD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Default="005302BD" w:rsidP="009A56DE">
      <w:pPr>
        <w:ind w:left="-993" w:right="-710"/>
        <w:jc w:val="both"/>
        <w:rPr>
          <w:rFonts w:ascii="Verdana" w:hAnsi="Verdana"/>
          <w:color w:val="0B1F33"/>
          <w:shd w:val="clear" w:color="auto" w:fill="FFFFFF"/>
        </w:rPr>
      </w:pPr>
    </w:p>
    <w:p w:rsidR="005302BD" w:rsidRPr="005302BD" w:rsidRDefault="005302BD" w:rsidP="009A56DE">
      <w:pPr>
        <w:ind w:left="-993" w:right="-710"/>
        <w:jc w:val="both"/>
        <w:rPr>
          <w:rFonts w:ascii="Times New Roman" w:hAnsi="Times New Roman" w:cs="Times New Roman"/>
          <w:color w:val="0B1F33"/>
          <w:shd w:val="clear" w:color="auto" w:fill="FFFFFF"/>
        </w:rPr>
      </w:pPr>
      <w:r>
        <w:rPr>
          <w:rFonts w:ascii="Times New Roman" w:hAnsi="Times New Roman" w:cs="Times New Roman"/>
          <w:color w:val="0B1F33"/>
          <w:shd w:val="clear" w:color="auto" w:fill="FFFFFF"/>
        </w:rPr>
        <w:t xml:space="preserve">              </w:t>
      </w:r>
      <w:r w:rsidRPr="005302BD">
        <w:rPr>
          <w:rFonts w:ascii="Times New Roman" w:hAnsi="Times New Roman" w:cs="Times New Roman"/>
          <w:color w:val="0B1F33"/>
          <w:shd w:val="clear" w:color="auto" w:fill="FFFFFF"/>
        </w:rPr>
        <w:t>Исп. Журавлева Анна Владимировна</w:t>
      </w:r>
    </w:p>
    <w:sectPr w:rsidR="005302BD" w:rsidRPr="0053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395"/>
    <w:multiLevelType w:val="hybridMultilevel"/>
    <w:tmpl w:val="C51412EE"/>
    <w:lvl w:ilvl="0" w:tplc="1364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1377A"/>
    <w:multiLevelType w:val="hybridMultilevel"/>
    <w:tmpl w:val="C51412EE"/>
    <w:lvl w:ilvl="0" w:tplc="1364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5"/>
    <w:rsid w:val="000125E3"/>
    <w:rsid w:val="000C0102"/>
    <w:rsid w:val="00245E9E"/>
    <w:rsid w:val="002B38B3"/>
    <w:rsid w:val="002F56FC"/>
    <w:rsid w:val="003F4D78"/>
    <w:rsid w:val="004C73DA"/>
    <w:rsid w:val="005302BD"/>
    <w:rsid w:val="005B4A66"/>
    <w:rsid w:val="006B7E3A"/>
    <w:rsid w:val="009120C6"/>
    <w:rsid w:val="00950747"/>
    <w:rsid w:val="00970134"/>
    <w:rsid w:val="009A56DE"/>
    <w:rsid w:val="00A24397"/>
    <w:rsid w:val="00B105B3"/>
    <w:rsid w:val="00B140D6"/>
    <w:rsid w:val="00B32126"/>
    <w:rsid w:val="00CC176A"/>
    <w:rsid w:val="00D1595A"/>
    <w:rsid w:val="00D96502"/>
    <w:rsid w:val="00E04A71"/>
    <w:rsid w:val="00E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906"/>
  <w15:chartTrackingRefBased/>
  <w15:docId w15:val="{2D2E86CA-3CD8-4AFB-93F7-BE992C09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B3"/>
    <w:pPr>
      <w:ind w:left="720"/>
      <w:contextualSpacing/>
    </w:pPr>
  </w:style>
  <w:style w:type="paragraph" w:customStyle="1" w:styleId="Default">
    <w:name w:val="Default"/>
    <w:rsid w:val="004C7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ravleva-av\Desktop\500+%202022&#1075;\&#1056;&#1080;&#1089;&#1082;&#1080;\&#1088;&#1080;&#1089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рисков по школам</a:t>
            </a: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камчатского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края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658317431769497"/>
          <c:y val="2.76063382895996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988520304309579"/>
          <c:y val="0.26188235479574068"/>
          <c:w val="0.50040153252639241"/>
          <c:h val="0.706085613172227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Лист1!$B$59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Лист1!$A$60:$A$69</c:f>
              <c:strCache>
                <c:ptCount val="10"/>
                <c:pt idx="0">
                  <c:v>3. Недостаточная предметная и методическая компетентность педагогических работников Высокая</c:v>
                </c:pt>
                <c:pt idx="1">
                  <c:v>9. Пониженный уровень качества школьной образовательной и воспитательной среды </c:v>
                </c:pt>
                <c:pt idx="2">
                  <c:v>5. Несформированность внутришкольной системы повышения квалификации </c:v>
                </c:pt>
                <c:pt idx="3">
                  <c:v>1. Низкий уровень оснащения школы</c:v>
                </c:pt>
                <c:pt idx="4">
                  <c:v>2. Дефицит педагогических кадров </c:v>
                </c:pt>
                <c:pt idx="5">
                  <c:v>4. Риски низкой адаптивности учебного процесса </c:v>
                </c:pt>
                <c:pt idx="6">
                  <c:v>7. Высокая доля обучающихся с ОВЗ </c:v>
                </c:pt>
                <c:pt idx="7">
                  <c:v>10. Низкий уровень вовлеченности родителей </c:v>
                </c:pt>
                <c:pt idx="8">
                  <c:v>6. Высокая доля обучающихся с рисками учебной неуспешности </c:v>
                </c:pt>
                <c:pt idx="9">
                  <c:v>8. Низкое качество преодоления языковых и культурных барьеров </c:v>
                </c:pt>
              </c:strCache>
            </c:strRef>
          </c:cat>
          <c:val>
            <c:numRef>
              <c:f>Лист1!$B$60:$B$69</c:f>
              <c:numCache>
                <c:formatCode>0%</c:formatCode>
                <c:ptCount val="10"/>
                <c:pt idx="0">
                  <c:v>0.52631578947368418</c:v>
                </c:pt>
                <c:pt idx="1">
                  <c:v>0.52631578947368418</c:v>
                </c:pt>
                <c:pt idx="2">
                  <c:v>0.26315789473684209</c:v>
                </c:pt>
                <c:pt idx="3">
                  <c:v>0.21052631578947367</c:v>
                </c:pt>
                <c:pt idx="4">
                  <c:v>0.21052631578947367</c:v>
                </c:pt>
                <c:pt idx="5">
                  <c:v>0.15789473684210525</c:v>
                </c:pt>
                <c:pt idx="6">
                  <c:v>0.10526315789473684</c:v>
                </c:pt>
                <c:pt idx="7">
                  <c:v>0.10526315789473684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A-40EA-A8C6-8C54F8C1097A}"/>
            </c:ext>
          </c:extLst>
        </c:ser>
        <c:ser>
          <c:idx val="1"/>
          <c:order val="1"/>
          <c:tx>
            <c:strRef>
              <c:f>Лист1!$C$59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Лист1!$A$60:$A$69</c:f>
              <c:strCache>
                <c:ptCount val="10"/>
                <c:pt idx="0">
                  <c:v>3. Недостаточная предметная и методическая компетентность педагогических работников Высокая</c:v>
                </c:pt>
                <c:pt idx="1">
                  <c:v>9. Пониженный уровень качества школьной образовательной и воспитательной среды </c:v>
                </c:pt>
                <c:pt idx="2">
                  <c:v>5. Несформированность внутришкольной системы повышения квалификации </c:v>
                </c:pt>
                <c:pt idx="3">
                  <c:v>1. Низкий уровень оснащения школы</c:v>
                </c:pt>
                <c:pt idx="4">
                  <c:v>2. Дефицит педагогических кадров </c:v>
                </c:pt>
                <c:pt idx="5">
                  <c:v>4. Риски низкой адаптивности учебного процесса </c:v>
                </c:pt>
                <c:pt idx="6">
                  <c:v>7. Высокая доля обучающихся с ОВЗ </c:v>
                </c:pt>
                <c:pt idx="7">
                  <c:v>10. Низкий уровень вовлеченности родителей </c:v>
                </c:pt>
                <c:pt idx="8">
                  <c:v>6. Высокая доля обучающихся с рисками учебной неуспешности </c:v>
                </c:pt>
                <c:pt idx="9">
                  <c:v>8. Низкое качество преодоления языковых и культурных барьеров </c:v>
                </c:pt>
              </c:strCache>
            </c:strRef>
          </c:cat>
          <c:val>
            <c:numRef>
              <c:f>Лист1!$C$60:$C$69</c:f>
              <c:numCache>
                <c:formatCode>0%</c:formatCode>
                <c:ptCount val="10"/>
                <c:pt idx="0">
                  <c:v>0.21052631578947367</c:v>
                </c:pt>
                <c:pt idx="1">
                  <c:v>0.31578947368421051</c:v>
                </c:pt>
                <c:pt idx="2">
                  <c:v>0.52631578947368418</c:v>
                </c:pt>
                <c:pt idx="3">
                  <c:v>0.42105263157894735</c:v>
                </c:pt>
                <c:pt idx="4">
                  <c:v>0.42105263157894735</c:v>
                </c:pt>
                <c:pt idx="5">
                  <c:v>0.31578947368421051</c:v>
                </c:pt>
                <c:pt idx="6">
                  <c:v>0.68421052631578949</c:v>
                </c:pt>
                <c:pt idx="7">
                  <c:v>0.63157894736842102</c:v>
                </c:pt>
                <c:pt idx="8">
                  <c:v>0.84210526315789469</c:v>
                </c:pt>
                <c:pt idx="9">
                  <c:v>0.15789473684210525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4A-40EA-A8C6-8C54F8C1097A}"/>
            </c:ext>
          </c:extLst>
        </c:ser>
        <c:ser>
          <c:idx val="2"/>
          <c:order val="2"/>
          <c:tx>
            <c:strRef>
              <c:f>Лист1!$D$59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Лист1!$A$60:$A$69</c:f>
              <c:strCache>
                <c:ptCount val="10"/>
                <c:pt idx="0">
                  <c:v>3. Недостаточная предметная и методическая компетентность педагогических работников Высокая</c:v>
                </c:pt>
                <c:pt idx="1">
                  <c:v>9. Пониженный уровень качества школьной образовательной и воспитательной среды </c:v>
                </c:pt>
                <c:pt idx="2">
                  <c:v>5. Несформированность внутришкольной системы повышения квалификации </c:v>
                </c:pt>
                <c:pt idx="3">
                  <c:v>1. Низкий уровень оснащения школы</c:v>
                </c:pt>
                <c:pt idx="4">
                  <c:v>2. Дефицит педагогических кадров </c:v>
                </c:pt>
                <c:pt idx="5">
                  <c:v>4. Риски низкой адаптивности учебного процесса </c:v>
                </c:pt>
                <c:pt idx="6">
                  <c:v>7. Высокая доля обучающихся с ОВЗ </c:v>
                </c:pt>
                <c:pt idx="7">
                  <c:v>10. Низкий уровень вовлеченности родителей </c:v>
                </c:pt>
                <c:pt idx="8">
                  <c:v>6. Высокая доля обучающихся с рисками учебной неуспешности </c:v>
                </c:pt>
                <c:pt idx="9">
                  <c:v>8. Низкое качество преодоления языковых и культурных барьеров </c:v>
                </c:pt>
              </c:strCache>
            </c:strRef>
          </c:cat>
          <c:val>
            <c:numRef>
              <c:f>Лист1!$D$60:$D$69</c:f>
              <c:numCache>
                <c:formatCode>0%</c:formatCode>
                <c:ptCount val="10"/>
                <c:pt idx="0">
                  <c:v>0.26315789473684209</c:v>
                </c:pt>
                <c:pt idx="1">
                  <c:v>0.15789473684210525</c:v>
                </c:pt>
                <c:pt idx="2">
                  <c:v>0.21052631578947367</c:v>
                </c:pt>
                <c:pt idx="3">
                  <c:v>0.36842105263157893</c:v>
                </c:pt>
                <c:pt idx="4">
                  <c:v>0.36842105263157893</c:v>
                </c:pt>
                <c:pt idx="5">
                  <c:v>0.52631578947368418</c:v>
                </c:pt>
                <c:pt idx="6">
                  <c:v>0.21052631578947367</c:v>
                </c:pt>
                <c:pt idx="7">
                  <c:v>0.26315789473684209</c:v>
                </c:pt>
                <c:pt idx="8">
                  <c:v>0.15789473684210525</c:v>
                </c:pt>
                <c:pt idx="9">
                  <c:v>0.84210526315789469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4A-40EA-A8C6-8C54F8C1097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36063904"/>
        <c:axId val="836064320"/>
      </c:barChart>
      <c:catAx>
        <c:axId val="836063904"/>
        <c:scaling>
          <c:orientation val="maxMin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6064320"/>
        <c:crosses val="autoZero"/>
        <c:auto val="1"/>
        <c:lblAlgn val="ctr"/>
        <c:lblOffset val="100"/>
        <c:tickLblSkip val="1"/>
        <c:noMultiLvlLbl val="0"/>
      </c:catAx>
      <c:valAx>
        <c:axId val="83606432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83606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737642474356444"/>
          <c:y val="0.14698214832327103"/>
          <c:w val="0.49611066026217476"/>
          <c:h val="6.4841952392838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Журавлёва</dc:creator>
  <cp:keywords/>
  <dc:description/>
  <cp:lastModifiedBy>Анна Журавлёва</cp:lastModifiedBy>
  <cp:revision>5</cp:revision>
  <cp:lastPrinted>2022-02-21T23:04:00Z</cp:lastPrinted>
  <dcterms:created xsi:type="dcterms:W3CDTF">2022-02-21T03:42:00Z</dcterms:created>
  <dcterms:modified xsi:type="dcterms:W3CDTF">2022-02-22T03:50:00Z</dcterms:modified>
</cp:coreProperties>
</file>